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F0E" w:rsidRDefault="003E7F0E" w:rsidP="003E7F0E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  <w:r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Załącznik nr 2</w:t>
      </w:r>
    </w:p>
    <w:p w:rsidR="003E7F0E" w:rsidRDefault="003E7F0E" w:rsidP="003E7F0E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</w:p>
    <w:p w:rsidR="003E7F0E" w:rsidRDefault="003E7F0E" w:rsidP="003E7F0E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bookmarkStart w:id="0" w:name="_Hlk135389676"/>
      <w:r>
        <w:rPr>
          <w:rFonts w:asciiTheme="minorHAnsi" w:hAnsiTheme="minorHAnsi" w:cstheme="minorHAnsi"/>
          <w:b/>
          <w:i/>
        </w:rPr>
        <w:t xml:space="preserve">Dostawa  aparatury medycznej w ramach CKD 2 dla Centralnego Szpitala Klinicznego </w:t>
      </w:r>
      <w:r>
        <w:rPr>
          <w:rFonts w:asciiTheme="minorHAnsi" w:hAnsiTheme="minorHAnsi" w:cstheme="minorHAnsi"/>
          <w:b/>
          <w:i/>
        </w:rPr>
        <w:br/>
        <w:t>Uniwersytetu Medycznego w Łodzi</w:t>
      </w:r>
      <w:bookmarkEnd w:id="0"/>
      <w:r>
        <w:rPr>
          <w:rFonts w:asciiTheme="minorHAnsi" w:hAnsiTheme="minorHAnsi" w:cstheme="minorHAnsi"/>
          <w:b/>
          <w:i/>
        </w:rPr>
        <w:t xml:space="preserve"> – ZP/167/2024</w:t>
      </w:r>
    </w:p>
    <w:p w:rsidR="00E06BFA" w:rsidRPr="00D16138" w:rsidRDefault="00FF1546" w:rsidP="00E7004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Aparat </w:t>
      </w:r>
      <w:r w:rsidR="00865B46">
        <w:rPr>
          <w:rFonts w:asciiTheme="minorHAnsi" w:hAnsiTheme="minorHAnsi" w:cstheme="minorHAnsi"/>
          <w:sz w:val="24"/>
          <w:szCs w:val="24"/>
        </w:rPr>
        <w:t>EMG</w:t>
      </w:r>
      <w:r w:rsidR="00D16138">
        <w:rPr>
          <w:rFonts w:asciiTheme="minorHAnsi" w:hAnsiTheme="minorHAnsi" w:cstheme="minorHAnsi"/>
          <w:sz w:val="24"/>
          <w:szCs w:val="24"/>
        </w:rPr>
        <w:t xml:space="preserve"> – 1 szt.</w:t>
      </w:r>
      <w:bookmarkStart w:id="1" w:name="_GoBack"/>
      <w:bookmarkEnd w:id="1"/>
    </w:p>
    <w:p w:rsidR="00E06BFA" w:rsidRPr="00BF2652" w:rsidRDefault="00E06BFA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:rsidR="00636E24" w:rsidRPr="00690D5A" w:rsidRDefault="00A33D41" w:rsidP="00D16138">
      <w:pPr>
        <w:spacing w:after="0" w:line="240" w:lineRule="auto"/>
        <w:jc w:val="center"/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>ZESTAWIENIE PARAMETRÓW TECHNICZNYCH</w:t>
      </w:r>
      <w:r w:rsidRPr="00690D5A">
        <w:rPr>
          <w:rFonts w:asciiTheme="minorHAnsi" w:hAnsiTheme="minorHAnsi" w:cstheme="minorHAnsi"/>
          <w:b/>
          <w:lang w:eastAsia="pl-PL"/>
        </w:rPr>
        <w:br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5"/>
        <w:gridCol w:w="4409"/>
        <w:gridCol w:w="1470"/>
        <w:gridCol w:w="2638"/>
      </w:tblGrid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434" w:type="pct"/>
            <w:vAlign w:val="center"/>
          </w:tcPr>
          <w:p w:rsidR="00636E24" w:rsidRPr="00690D5A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Parametry i warunki techniczne</w:t>
            </w:r>
          </w:p>
        </w:tc>
        <w:tc>
          <w:tcPr>
            <w:tcW w:w="809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 wymagany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Parametry oferowane</w:t>
            </w:r>
          </w:p>
        </w:tc>
      </w:tr>
      <w:tr w:rsidR="001940E4" w:rsidRPr="00690D5A" w:rsidTr="00D16138">
        <w:tc>
          <w:tcPr>
            <w:tcW w:w="301" w:type="pct"/>
            <w:vAlign w:val="center"/>
          </w:tcPr>
          <w:p w:rsidR="001940E4" w:rsidRPr="00690D5A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434" w:type="pct"/>
            <w:vAlign w:val="center"/>
          </w:tcPr>
          <w:p w:rsidR="001940E4" w:rsidRPr="00690D5A" w:rsidRDefault="001940E4" w:rsidP="00690D5A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I. Wymagania Ogólne</w:t>
            </w:r>
          </w:p>
        </w:tc>
        <w:tc>
          <w:tcPr>
            <w:tcW w:w="809" w:type="pct"/>
            <w:vAlign w:val="center"/>
          </w:tcPr>
          <w:p w:rsidR="001940E4" w:rsidRPr="00690D5A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457" w:type="pct"/>
          </w:tcPr>
          <w:p w:rsidR="001940E4" w:rsidRPr="00690D5A" w:rsidRDefault="001940E4" w:rsidP="001940E4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34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Nazwa Urządzenia</w:t>
            </w:r>
          </w:p>
        </w:tc>
        <w:tc>
          <w:tcPr>
            <w:tcW w:w="809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34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Typ Urządzenia</w:t>
            </w:r>
          </w:p>
        </w:tc>
        <w:tc>
          <w:tcPr>
            <w:tcW w:w="809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34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Producent</w:t>
            </w:r>
          </w:p>
        </w:tc>
        <w:tc>
          <w:tcPr>
            <w:tcW w:w="809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34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Kraj pochodzenia</w:t>
            </w:r>
          </w:p>
        </w:tc>
        <w:tc>
          <w:tcPr>
            <w:tcW w:w="809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434" w:type="pct"/>
            <w:vAlign w:val="center"/>
          </w:tcPr>
          <w:p w:rsidR="00636E24" w:rsidRPr="00690D5A" w:rsidRDefault="00D16026" w:rsidP="000754B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Rok produkcji </w:t>
            </w:r>
            <w:r w:rsidR="002808DE" w:rsidRPr="00690D5A">
              <w:rPr>
                <w:rFonts w:asciiTheme="minorHAnsi" w:hAnsiTheme="minorHAnsi" w:cstheme="minorHAnsi"/>
              </w:rPr>
              <w:t>2024</w:t>
            </w:r>
            <w:r w:rsidR="00636E24" w:rsidRPr="00690D5A">
              <w:rPr>
                <w:rFonts w:asciiTheme="minorHAnsi" w:hAnsiTheme="minorHAnsi" w:cstheme="minorHAnsi"/>
              </w:rPr>
              <w:t>, urządzenie fabrycznie nowe, nie rekondycjonowane</w:t>
            </w:r>
          </w:p>
        </w:tc>
        <w:tc>
          <w:tcPr>
            <w:tcW w:w="809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434" w:type="pct"/>
            <w:vAlign w:val="center"/>
          </w:tcPr>
          <w:p w:rsidR="00636E24" w:rsidRPr="00690D5A" w:rsidRDefault="0087150F" w:rsidP="0087150F">
            <w:pPr>
              <w:pStyle w:val="Nagwek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809" w:type="pct"/>
            <w:vAlign w:val="center"/>
          </w:tcPr>
          <w:p w:rsidR="00636E24" w:rsidRPr="00690D5A" w:rsidRDefault="00DF69AA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434" w:type="pct"/>
            <w:vAlign w:val="center"/>
          </w:tcPr>
          <w:p w:rsidR="00960E2D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Klasyfikacja zgodna z normą IEC/EN 60601-1, ochrona przed porażeniem prądem</w:t>
            </w:r>
            <w:r w:rsidR="00960E2D" w:rsidRPr="00690D5A">
              <w:rPr>
                <w:rFonts w:asciiTheme="minorHAnsi" w:hAnsiTheme="minorHAnsi" w:cstheme="minorHAnsi"/>
              </w:rPr>
              <w:t xml:space="preserve"> lub równoważna</w:t>
            </w:r>
          </w:p>
        </w:tc>
        <w:tc>
          <w:tcPr>
            <w:tcW w:w="809" w:type="pct"/>
            <w:vAlign w:val="center"/>
          </w:tcPr>
          <w:p w:rsidR="00636E24" w:rsidRPr="00690D5A" w:rsidRDefault="00FB0BD2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434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 Ochrona przed wilgocią </w:t>
            </w:r>
            <w:r w:rsidR="00960E2D" w:rsidRPr="00690D5A">
              <w:rPr>
                <w:rFonts w:asciiTheme="minorHAnsi" w:hAnsiTheme="minorHAnsi" w:cstheme="minorHAnsi"/>
              </w:rPr>
              <w:t>lub równoważna</w:t>
            </w:r>
          </w:p>
        </w:tc>
        <w:tc>
          <w:tcPr>
            <w:tcW w:w="809" w:type="pct"/>
            <w:vAlign w:val="center"/>
          </w:tcPr>
          <w:p w:rsidR="00A354E1" w:rsidRPr="00690D5A" w:rsidRDefault="00A354E1" w:rsidP="00636E2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457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D16138">
        <w:tc>
          <w:tcPr>
            <w:tcW w:w="301" w:type="pct"/>
            <w:vAlign w:val="center"/>
          </w:tcPr>
          <w:p w:rsidR="00636E24" w:rsidRPr="001C09B8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  <w:vAlign w:val="center"/>
          </w:tcPr>
          <w:p w:rsidR="00636E24" w:rsidRPr="001C09B8" w:rsidRDefault="00FB0BD2" w:rsidP="00636E24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II. Parametry techniczne urządzenia</w:t>
            </w:r>
          </w:p>
        </w:tc>
        <w:tc>
          <w:tcPr>
            <w:tcW w:w="809" w:type="pct"/>
            <w:vAlign w:val="center"/>
          </w:tcPr>
          <w:p w:rsidR="00636E24" w:rsidRPr="001C09B8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  <w:vAlign w:val="bottom"/>
          </w:tcPr>
          <w:p w:rsidR="00636E24" w:rsidRPr="001C09B8" w:rsidRDefault="00636E24" w:rsidP="00636E24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Pr="001C09B8" w:rsidRDefault="00865B46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  <w:vAlign w:val="center"/>
          </w:tcPr>
          <w:p w:rsidR="00865B46" w:rsidRPr="001C09B8" w:rsidRDefault="00865B46" w:rsidP="00636E24">
            <w:pPr>
              <w:rPr>
                <w:rFonts w:asciiTheme="minorHAnsi" w:hAnsiTheme="minorHAnsi" w:cstheme="minorHAnsi"/>
                <w:b/>
                <w:bCs/>
              </w:rPr>
            </w:pPr>
            <w:r w:rsidRPr="00865B46">
              <w:rPr>
                <w:rFonts w:asciiTheme="minorHAnsi" w:hAnsiTheme="minorHAnsi" w:cstheme="minorHAnsi"/>
                <w:b/>
                <w:bCs/>
              </w:rPr>
              <w:t>Głowica wzmacniaczy</w:t>
            </w:r>
          </w:p>
        </w:tc>
        <w:tc>
          <w:tcPr>
            <w:tcW w:w="809" w:type="pct"/>
            <w:vAlign w:val="center"/>
          </w:tcPr>
          <w:p w:rsidR="00865B46" w:rsidRPr="001C09B8" w:rsidRDefault="00865B46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  <w:vAlign w:val="bottom"/>
          </w:tcPr>
          <w:p w:rsidR="00865B46" w:rsidRPr="001C09B8" w:rsidRDefault="00865B46" w:rsidP="00636E24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34" w:type="pct"/>
            <w:vAlign w:val="center"/>
          </w:tcPr>
          <w:p w:rsidR="00865B46" w:rsidRPr="00865B46" w:rsidRDefault="00865B46" w:rsidP="00865B46">
            <w:pPr>
              <w:snapToGrid w:val="0"/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Impedancja wejściowa:</w:t>
            </w:r>
          </w:p>
          <w:p w:rsidR="00865B46" w:rsidRPr="00865B46" w:rsidRDefault="00865B46" w:rsidP="00865B46">
            <w:pPr>
              <w:snapToGrid w:val="0"/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a.</w:t>
            </w: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ab/>
              <w:t xml:space="preserve">&gt; 200 MΩ w trybie różnicowym, </w:t>
            </w:r>
          </w:p>
          <w:p w:rsidR="00E06BFA" w:rsidRPr="001C09B8" w:rsidRDefault="00865B46" w:rsidP="00865B46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b.</w:t>
            </w: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ab/>
              <w:t>&gt; 1000 MΩ w trybie wspólnym</w:t>
            </w:r>
          </w:p>
        </w:tc>
        <w:tc>
          <w:tcPr>
            <w:tcW w:w="809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34" w:type="pct"/>
          </w:tcPr>
          <w:p w:rsidR="001D15F3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Poziom szumów przy zwartym wejściu w paśmie 2 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 – 10 kHz: 0,4 µ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Vrms</w:t>
            </w:r>
            <w:proofErr w:type="spellEnd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</w:tc>
        <w:tc>
          <w:tcPr>
            <w:tcW w:w="809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34" w:type="pct"/>
          </w:tcPr>
          <w:p w:rsidR="00E06BFA" w:rsidRPr="001C09B8" w:rsidRDefault="00865B46" w:rsidP="00B34D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hAnsiTheme="minorHAnsi" w:cstheme="minorHAnsi"/>
                <w:color w:val="000000"/>
              </w:rPr>
              <w:t xml:space="preserve">Współczynnik tłumienia sygnałów współbieżnych, CMRR &gt; 124 </w:t>
            </w:r>
            <w:proofErr w:type="spellStart"/>
            <w:r w:rsidRPr="00865B46">
              <w:rPr>
                <w:rFonts w:asciiTheme="minorHAnsi" w:hAnsiTheme="minorHAnsi" w:cstheme="minorHAnsi"/>
                <w:color w:val="000000"/>
              </w:rPr>
              <w:t>dB</w:t>
            </w:r>
            <w:proofErr w:type="spellEnd"/>
            <w:r w:rsidRPr="00865B46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809" w:type="pct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34" w:type="pct"/>
          </w:tcPr>
          <w:p w:rsidR="001D15F3" w:rsidRPr="001C09B8" w:rsidRDefault="00865B46" w:rsidP="001D15F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65B46">
              <w:rPr>
                <w:rFonts w:asciiTheme="minorHAnsi" w:hAnsiTheme="minorHAnsi" w:cstheme="minorHAnsi"/>
                <w:color w:val="000000"/>
              </w:rPr>
              <w:t>Rozdzielczość przetwarzania A/C dla wszystkich sygnałów NCS/EMG/EP: 24 bity.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2434" w:type="pct"/>
          </w:tcPr>
          <w:p w:rsidR="00E06BFA" w:rsidRPr="001C09B8" w:rsidRDefault="00865B46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65B46">
              <w:rPr>
                <w:rFonts w:asciiTheme="minorHAnsi" w:hAnsiTheme="minorHAnsi" w:cstheme="minorHAnsi"/>
                <w:color w:val="000000"/>
              </w:rPr>
              <w:t>Regulacja podstawy czasu: 0,1 ms/</w:t>
            </w:r>
            <w:proofErr w:type="spellStart"/>
            <w:r w:rsidRPr="00865B46">
              <w:rPr>
                <w:rFonts w:asciiTheme="minorHAnsi" w:hAnsiTheme="minorHAnsi" w:cstheme="minorHAnsi"/>
                <w:color w:val="000000"/>
              </w:rPr>
              <w:t>dz</w:t>
            </w:r>
            <w:proofErr w:type="spellEnd"/>
            <w:r w:rsidRPr="00865B46">
              <w:rPr>
                <w:rFonts w:asciiTheme="minorHAnsi" w:hAnsiTheme="minorHAnsi" w:cstheme="minorHAnsi"/>
                <w:color w:val="000000"/>
              </w:rPr>
              <w:t xml:space="preserve"> - 16 s/dz.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434" w:type="pct"/>
          </w:tcPr>
          <w:p w:rsidR="00E06BFA" w:rsidRPr="001C09B8" w:rsidRDefault="00865B46" w:rsidP="001D15F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Filtr górnoprzepustowy – dolna częstotliwość graniczna (-3dB): 0,01 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 – 3 kHz.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434" w:type="pct"/>
          </w:tcPr>
          <w:p w:rsidR="00E06BFA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Filtr dolnoprzepustowy – górne częstotliwość graniczna (-3dB): 20 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 – 13 kHz.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434" w:type="pct"/>
          </w:tcPr>
          <w:p w:rsidR="00E06BFA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Filtr pasmowy 50 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 (przeciwzakłóceniowy).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Pr="001C09B8" w:rsidRDefault="00865B46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</w:tcPr>
          <w:p w:rsidR="00865B46" w:rsidRPr="00865B46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b/>
                <w:lang w:eastAsia="pl-PL"/>
              </w:rPr>
              <w:t>Stymulator prądowy</w:t>
            </w:r>
          </w:p>
        </w:tc>
        <w:tc>
          <w:tcPr>
            <w:tcW w:w="809" w:type="pct"/>
          </w:tcPr>
          <w:p w:rsidR="00865B46" w:rsidRPr="001C09B8" w:rsidRDefault="00865B46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  <w:vAlign w:val="bottom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434" w:type="pct"/>
          </w:tcPr>
          <w:p w:rsidR="001D15F3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Maksymalne natężenie prądu stymulującego: 100 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mA</w:t>
            </w:r>
            <w:proofErr w:type="spellEnd"/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434" w:type="pct"/>
          </w:tcPr>
          <w:p w:rsidR="00FF1546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Czas trwania impulsu stymulującego: 0,02 - 1 ms</w:t>
            </w:r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434" w:type="pct"/>
          </w:tcPr>
          <w:p w:rsidR="00FF1546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Maksymalna częstość stymulacji: 200 </w:t>
            </w:r>
            <w:proofErr w:type="spellStart"/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457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434" w:type="pct"/>
          </w:tcPr>
          <w:p w:rsidR="00FF1546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Stymulacja z częstością zmienianą losowo z regulacją procentowego odchylenia od zadanej częstości maksymalnej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B34D79" w:rsidRPr="00690D5A" w:rsidTr="00D16138">
        <w:tc>
          <w:tcPr>
            <w:tcW w:w="301" w:type="pct"/>
            <w:vAlign w:val="center"/>
          </w:tcPr>
          <w:p w:rsidR="00B34D79" w:rsidRPr="001C09B8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</w:tcPr>
          <w:p w:rsidR="00B34D79" w:rsidRPr="001C09B8" w:rsidRDefault="00865B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hAnsiTheme="minorHAnsi" w:cstheme="minorHAnsi"/>
                <w:b/>
                <w:bCs/>
              </w:rPr>
              <w:t>Budowa aparatu</w:t>
            </w:r>
          </w:p>
        </w:tc>
        <w:tc>
          <w:tcPr>
            <w:tcW w:w="809" w:type="pct"/>
          </w:tcPr>
          <w:p w:rsidR="00B34D79" w:rsidRPr="001C09B8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  <w:vAlign w:val="bottom"/>
          </w:tcPr>
          <w:p w:rsidR="00B34D79" w:rsidRPr="001C09B8" w:rsidRDefault="00B34D79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Wózek o specjalizowanej, metalowej, solidnej budowie, wyposażony w: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Duże ogumowane koła z blokadą w 2 kołach,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Wbudowany w sposób trwały komputer PC,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Panel gniazd do podłączenia urządzeń współpracujących,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Wbudowany w sposób trwały w podstawę wózka transformator separujący 230/230V 50Hz,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Wychylno-obrotowe ramię dla głowicy wzmacniaczy i stymulatora prądowego,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Integralny, zamontowany trwale, statyw dla monitora LCD z regulacją w pionie, kącie obrotu i kącie nachylenia,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Półkę na panel sterujący,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Wysuwaną szufladę na klawiaturę PC,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Półkę dla drukarki,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Pojemnik na akcesoria,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Zintegrowane uchwyty dla słuchawek AEP i przełącznika nożnego,</w:t>
            </w:r>
          </w:p>
          <w:p w:rsidR="00E06BFA" w:rsidRPr="001C09B8" w:rsidRDefault="006C2476" w:rsidP="00865B4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Kable łączące elementy systemu ukryte wewnątrz wózka, a kabel do głowicy wzmacniaczy wewnątrz ramienia głowicy.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Panel sterujący, jednomodułowy, wyposażony w następujące manipulatory i klawisze funkcyjne: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6 kodowanych kolorami przycisków nawigacyjnych oprogramowania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12 kodowanych kolorami przycisków funkcyjnych oprogramowania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Pokrętło regulacji intensywności bodźca i pokrętło głośności dźwięku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Przycisk pojedynczej stymulacji i przycisk stymulacji powtarzalnej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Przyciski zmiany czasu trwania bodźca stymulującego i częstości powtarzania bodźców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Przyciski regulacji parametrów prezentacji przebiegów (szybkość przesuwu / poziom czułości)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Blok klawiatury numerycznej</w:t>
            </w:r>
          </w:p>
          <w:p w:rsidR="00E06BFA" w:rsidRPr="001C09B8" w:rsidRDefault="006C2476" w:rsidP="00865B4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Wskaźniki zasilania, trybu gotowości, stymulacji, głośności i trybu kursora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Głowica wejściowa, 4-kanałowa, jednomodułowa, bezpośrednio połączona z aparatem za pomocą kabla UTP, standard LAN, z wtykiem zabezpieczonym przed przypadkowym wypięciem kabla, zamontowana na ruchomym ramieniu wózka, wyposażona w: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4 zespoły gniazd: 1 DIN i 2 TP,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2 gniazda TP dla elektrody uziemiającej,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Klawisz testu impedancji elektrod wraz ze wskaźnikiem LED,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Klawisz wyciszenia głośnika wraz ze wskaźnikiem LED,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Wszystkie gniazda aktywne i referencyjne wyposażone we wskaźniki LED pomiaru impedancji,</w:t>
            </w:r>
          </w:p>
          <w:p w:rsidR="00E06BFA" w:rsidRPr="001C09B8" w:rsidRDefault="006C2476" w:rsidP="00865B4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Wskaźnik zasilania.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Głowica wejściowa, 6-kanałowa, jednomodułowa, bezpośrednio połączona z aparatem za pomocą kabla UTP, standard LAN, z wtykiem zabezpieczonym przed przypadkowym wypięciem kabla, zamontowana na giętkim ramieniu, wyposażona w: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24 gniazda TP,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2 gniazda TP dla elektrody uziemiającej,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Klawisz testu impedancji elektrod wraz ze wskaźnikiem LED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Wszystkie gniazda wyposażone we wskaźniki LED pomiaru impedancji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Wskaźnik zasilania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Podwójny stymulator elektryczny jednomodułowy, zamontowany na ramieniu giętkim, wyposażony w: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4 Gniazdo DIN i 8 gniazd TP dla wyjść impulsów stymulujących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Wskaźnik zasilania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Wskaźnik wyemitowania bodźca dla każdego stymulatora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Wskaźniki aktywnej elektrody dla każdego gniazda TP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Zaawansowana rękojeść stymulująca z regulacją bodźca wyposażona w: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3 wymienne końcówki do stymulacji,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Przycisk zmiany polaryzacji wraz z dwoma wskaźnikami polaryzacji,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Pokrętło regulacji intensywności stymulacji,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Przycisk wyzwolenia bodźca pojedynczego lub włączenia/zatrzymania stymulacji ciągłej,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Przycisk uruchomienia/zatrzymania uśrednienia,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Przycisk specjalny, którego funkcja jest zależna od wykonywanego badania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Zestaw nagłowny kalibrowanych słuchawek audiologicznych akustycznych sygnałów stymulujących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Przełącznik do pomiaru czasu reakcji potencjałów wywołanych zdarzeniowych P 300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Monitor LCD min. 21,5” wzorcowych wzrokowych sygnałów stymulujących o czasie opóźnienia ≤ 2 ms z zestawem połączeniowym 5 m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Gogle stymulujących sygnałów wzrokowych wraz z kablem przedłużającym 5 m.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>Przełącznik nożny, 3 klawisze A, B, C, realizujące następujące funkcje: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przełącznik A zależny od programu,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przełącznik B: włączenie/wyłączenie stymulacji,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przełącznik C: wznowienie/wstrzymanie – zależnie od programu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865B46" w:rsidRPr="00690D5A" w:rsidTr="00D16138">
        <w:tc>
          <w:tcPr>
            <w:tcW w:w="301" w:type="pct"/>
            <w:vAlign w:val="center"/>
          </w:tcPr>
          <w:p w:rsidR="00865B46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434" w:type="pct"/>
          </w:tcPr>
          <w:p w:rsidR="00865B46" w:rsidRPr="00865B46" w:rsidRDefault="00865B4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System komputerowy aparatu EMG: 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Procesor min. Intel </w:t>
            </w:r>
            <w:proofErr w:type="spellStart"/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Core</w:t>
            </w:r>
            <w:proofErr w:type="spellEnd"/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 xml:space="preserve"> i5,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Pamięć RAM: min. 8 GB,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Dysk SSD: min. 240 GB,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Wbudowana karta sieciowa oraz izolator sieciowy do bezpiecznego podłączenie systemu do sieci LAN,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Oprogramowanie: Microsoft Windows 10 Pro, Microsoft Office 2021,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Monitor LCD min. 21,5” zamontowany na integralnym, regulowanym statywie wózka,</w:t>
            </w:r>
          </w:p>
          <w:p w:rsidR="00865B46" w:rsidRPr="00865B46" w:rsidRDefault="006C2476" w:rsidP="00865B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865B46" w:rsidRPr="00865B46">
              <w:rPr>
                <w:rFonts w:asciiTheme="minorHAnsi" w:eastAsia="Times New Roman" w:hAnsiTheme="minorHAnsi" w:cstheme="minorHAnsi"/>
                <w:lang w:eastAsia="pl-PL"/>
              </w:rPr>
              <w:t>Drukarka laserowa monochromatyczna (czarno-biała) z funkcją automatycznego wydruku dwustronnego (duplex).</w:t>
            </w:r>
          </w:p>
        </w:tc>
        <w:tc>
          <w:tcPr>
            <w:tcW w:w="809" w:type="pct"/>
          </w:tcPr>
          <w:p w:rsidR="00865B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865B46" w:rsidRPr="001C09B8" w:rsidRDefault="00865B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FF1546" w:rsidP="00E06BF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34" w:type="pct"/>
          </w:tcPr>
          <w:p w:rsidR="00FF1546" w:rsidRPr="001C09B8" w:rsidRDefault="00865B46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65B46">
              <w:rPr>
                <w:rFonts w:asciiTheme="minorHAnsi" w:eastAsia="Times New Roman" w:hAnsiTheme="minorHAnsi" w:cstheme="minorHAnsi"/>
                <w:b/>
                <w:lang w:eastAsia="pl-PL"/>
              </w:rPr>
              <w:t>Oprogramowanie diagnostyczne</w:t>
            </w:r>
          </w:p>
        </w:tc>
        <w:tc>
          <w:tcPr>
            <w:tcW w:w="809" w:type="pct"/>
          </w:tcPr>
          <w:p w:rsidR="00FF1546" w:rsidRPr="001C09B8" w:rsidRDefault="00FF1546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434" w:type="pct"/>
          </w:tcPr>
          <w:p w:rsidR="001D7A35" w:rsidRPr="001D7A35" w:rsidRDefault="001D7A35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Neurografia</w:t>
            </w:r>
            <w:proofErr w:type="spellEnd"/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: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Przewodnictwo ruchowe,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Przewodnictwo czuciowe,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Fala F,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Przewodnictwo odcinkowe (</w:t>
            </w:r>
            <w:proofErr w:type="spellStart"/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inching</w:t>
            </w:r>
            <w:proofErr w:type="spellEnd"/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),</w:t>
            </w:r>
          </w:p>
          <w:p w:rsidR="00E06BFA" w:rsidRPr="001C09B8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Ruchowe potencjały wywołane (MEP) – wymaga zewnętrznego stymulatora magnetycznego,</w:t>
            </w:r>
          </w:p>
        </w:tc>
        <w:tc>
          <w:tcPr>
            <w:tcW w:w="809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D16138">
        <w:tc>
          <w:tcPr>
            <w:tcW w:w="301" w:type="pct"/>
            <w:vAlign w:val="center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434" w:type="pct"/>
          </w:tcPr>
          <w:p w:rsidR="00E06BFA" w:rsidRPr="001C09B8" w:rsidRDefault="001D7A35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Odruch H.</w:t>
            </w:r>
          </w:p>
        </w:tc>
        <w:tc>
          <w:tcPr>
            <w:tcW w:w="809" w:type="pct"/>
          </w:tcPr>
          <w:p w:rsidR="00E06BFA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Odruch mrugania.</w:t>
            </w:r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Próba męczliwości (RNS).</w:t>
            </w:r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Współczulne odruchy skórne (SSR).</w:t>
            </w:r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434" w:type="pct"/>
          </w:tcPr>
          <w:p w:rsidR="001D7A35" w:rsidRPr="001D7A35" w:rsidRDefault="001D7A35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EMG Ilościowe (QEMG):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EMG spontaniczne (ocena czynności spoczynkowej),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Analiza wielu jednostek ruchowych,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Analiza zapisu interferencyjnego (ocena czynności wysiłkowej),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Analiza w trybie off-</w:t>
            </w:r>
            <w:proofErr w:type="spellStart"/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line</w:t>
            </w:r>
            <w:proofErr w:type="spellEnd"/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 xml:space="preserve"> zapisanych sygnałów EMG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     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maksymalny czas pojedynczego zapisu: 15 minut,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     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liczba zapisów: nieograniczona,</w:t>
            </w:r>
          </w:p>
          <w:p w:rsidR="00FF1546" w:rsidRPr="001C09B8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Automatyczna ocena mięśni zgodnie z regułami definiowanymi przez użytkownika</w:t>
            </w:r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Analiza odpowiedzi M (MUNIX)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Analiza zmienności rytmu zatokowego (Analiza R-R)</w:t>
            </w:r>
          </w:p>
        </w:tc>
        <w:tc>
          <w:tcPr>
            <w:tcW w:w="809" w:type="pct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434" w:type="pct"/>
          </w:tcPr>
          <w:p w:rsidR="001D7A35" w:rsidRPr="001D7A35" w:rsidRDefault="001D7A35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EMG pojedynczego włókna (SF EMG):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SF-EMG wyzwalane szczytem,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stymulowane SF-EMG,</w:t>
            </w:r>
          </w:p>
          <w:p w:rsidR="00FF1546" w:rsidRPr="001C09B8" w:rsidRDefault="006C2476" w:rsidP="001D7A3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1D7A35" w:rsidRPr="001D7A35">
              <w:rPr>
                <w:rFonts w:asciiTheme="minorHAnsi" w:eastAsia="Times New Roman" w:hAnsiTheme="minorHAnsi" w:cstheme="minorHAnsi"/>
                <w:lang w:eastAsia="pl-PL"/>
              </w:rPr>
              <w:t>ocena gęstości włókna.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Wielokanałowe EMG (EMG Monitor) wraz z analizą spektralną dostosowaną do analizy drżenia.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1D7A35">
              <w:rPr>
                <w:rFonts w:asciiTheme="minorHAnsi" w:hAnsiTheme="minorHAnsi" w:cstheme="minorHAnsi"/>
                <w:color w:val="000000"/>
              </w:rPr>
              <w:t>Somatosensoryczne</w:t>
            </w:r>
            <w:proofErr w:type="spellEnd"/>
            <w:r w:rsidRPr="001D7A35">
              <w:rPr>
                <w:rFonts w:asciiTheme="minorHAnsi" w:hAnsiTheme="minorHAnsi" w:cstheme="minorHAnsi"/>
                <w:color w:val="000000"/>
              </w:rPr>
              <w:t xml:space="preserve"> potencjały wywołane (SEP).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434" w:type="pct"/>
          </w:tcPr>
          <w:p w:rsidR="001D7A35" w:rsidRPr="001D7A35" w:rsidRDefault="001D7A35" w:rsidP="001D7A35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Słuchowe potencjały wywołane: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1D7A35" w:rsidRPr="001D7A35">
              <w:rPr>
                <w:rFonts w:asciiTheme="minorHAnsi" w:hAnsiTheme="minorHAnsi" w:cstheme="minorHAnsi"/>
                <w:color w:val="000000"/>
              </w:rPr>
              <w:t>Pniowe (BAEP),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1D7A35" w:rsidRPr="001D7A35">
              <w:rPr>
                <w:rFonts w:asciiTheme="minorHAnsi" w:hAnsiTheme="minorHAnsi" w:cstheme="minorHAnsi"/>
                <w:color w:val="000000"/>
              </w:rPr>
              <w:t>Kompletne (AEP),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1D7A35" w:rsidRPr="001D7A35">
              <w:rPr>
                <w:rFonts w:asciiTheme="minorHAnsi" w:hAnsiTheme="minorHAnsi" w:cstheme="minorHAnsi"/>
                <w:color w:val="000000"/>
              </w:rPr>
              <w:t>Zdarzeniowe (P300),</w:t>
            </w:r>
          </w:p>
          <w:p w:rsidR="001D7A35" w:rsidRPr="001D7A35" w:rsidRDefault="006C2476" w:rsidP="001D7A35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1D7A35" w:rsidRPr="001D7A35">
              <w:rPr>
                <w:rFonts w:asciiTheme="minorHAnsi" w:hAnsiTheme="minorHAnsi" w:cstheme="minorHAnsi"/>
                <w:color w:val="000000"/>
              </w:rPr>
              <w:t>Fala oczekiwania (CNV),</w:t>
            </w:r>
          </w:p>
          <w:p w:rsidR="00FF1546" w:rsidRPr="00226ED9" w:rsidRDefault="006C2476" w:rsidP="001D7A3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="001D7A35" w:rsidRPr="001D7A35">
              <w:rPr>
                <w:rFonts w:asciiTheme="minorHAnsi" w:hAnsiTheme="minorHAnsi" w:cstheme="minorHAnsi"/>
                <w:color w:val="000000"/>
              </w:rPr>
              <w:t>Ocena obiektywnego poziomu słyszenia (OHL).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434" w:type="pct"/>
          </w:tcPr>
          <w:p w:rsidR="00FF1546" w:rsidRPr="001C09B8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Wzrokowe potencjały wywołane (VEP).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434" w:type="pct"/>
          </w:tcPr>
          <w:p w:rsidR="00FF1546" w:rsidRPr="001C09B8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Potencjały wywołane ruchem (MRP).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Default="001D7A35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</w:tcPr>
          <w:p w:rsidR="001D7A35" w:rsidRPr="001D7A35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1D7A35">
              <w:rPr>
                <w:rFonts w:asciiTheme="minorHAnsi" w:hAnsiTheme="minorHAnsi" w:cstheme="minorHAnsi"/>
                <w:b/>
                <w:color w:val="000000"/>
              </w:rPr>
              <w:t>Specjalne funkcje oprogramowania diagnostycznego:</w:t>
            </w:r>
          </w:p>
        </w:tc>
        <w:tc>
          <w:tcPr>
            <w:tcW w:w="809" w:type="pct"/>
          </w:tcPr>
          <w:p w:rsidR="001D7A35" w:rsidRPr="001C09B8" w:rsidRDefault="001D7A35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</w:tcPr>
          <w:p w:rsidR="001D7A35" w:rsidRPr="001C09B8" w:rsidRDefault="001D7A3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434" w:type="pct"/>
          </w:tcPr>
          <w:p w:rsidR="00FF1546" w:rsidRPr="001C09B8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Możliwość uruchomienia w dowolnym momencie dodatkowych opcji oprogramowania diagnostycznego poprzez wpisanie nowego numeru licencji. Bez konieczności restartu komputera lub instalacji jakiegokolwiek dodatkowego oprogramowania.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434" w:type="pct"/>
          </w:tcPr>
          <w:p w:rsidR="00FF1546" w:rsidRPr="001C09B8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Możliwość zmiany języka oprogramowania diagnostycznego poprzez wybór języka z listy. Bez konieczności restartu komputera lub instalacji jakiegokolwiek dodatkowego oprogramowania.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D16138">
        <w:tc>
          <w:tcPr>
            <w:tcW w:w="301" w:type="pct"/>
            <w:vAlign w:val="center"/>
          </w:tcPr>
          <w:p w:rsidR="00FF1546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434" w:type="pct"/>
          </w:tcPr>
          <w:p w:rsidR="00FF1546" w:rsidRPr="001C09B8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Automatyczna archiwizacja badań z możliwością określenia po ilu dniach od wykonania i czy jedynie badania oznaczone jako zakończone będą automatycznie archiwizowane we wskazanym katalogu.</w:t>
            </w:r>
          </w:p>
        </w:tc>
        <w:tc>
          <w:tcPr>
            <w:tcW w:w="809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D16138">
        <w:tc>
          <w:tcPr>
            <w:tcW w:w="301" w:type="pct"/>
            <w:vAlign w:val="center"/>
          </w:tcPr>
          <w:p w:rsidR="00F67A73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434" w:type="pct"/>
          </w:tcPr>
          <w:p w:rsidR="00F67A73" w:rsidRPr="001C09B8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Możliwość wykonania kopii zapasowej bazy danych poprzez pojedyncze naciśnięcie przycisku oraz możliwość przywrócenia utworzonej wcześniej kopii zapasowej poprzez wybór kopii z listy. Bez konieczności restartu komputera lub instalacji jakiegokolwiek dodatkowego oprogramowania.</w:t>
            </w:r>
          </w:p>
        </w:tc>
        <w:tc>
          <w:tcPr>
            <w:tcW w:w="809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D16138">
        <w:tc>
          <w:tcPr>
            <w:tcW w:w="301" w:type="pct"/>
            <w:vAlign w:val="center"/>
          </w:tcPr>
          <w:p w:rsidR="00F67A73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434" w:type="pct"/>
          </w:tcPr>
          <w:p w:rsidR="00F67A73" w:rsidRPr="001C09B8" w:rsidRDefault="001D7A35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D7A35">
              <w:rPr>
                <w:rFonts w:asciiTheme="minorHAnsi" w:hAnsiTheme="minorHAnsi" w:cstheme="minorHAnsi"/>
                <w:color w:val="000000"/>
              </w:rPr>
              <w:t>Możliwość zabezpieczenia wykonanego badania przed przypadkową kontynuacją podczas przeglądu poprzez automatyczne oznaczenie badania jako ukończone po upływie jednej doby od jego wykonania i opcjonalnie pod warunkiem wygenerowania raportu z tego badania.</w:t>
            </w:r>
          </w:p>
        </w:tc>
        <w:tc>
          <w:tcPr>
            <w:tcW w:w="809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434" w:type="pct"/>
          </w:tcPr>
          <w:p w:rsidR="001D7A35" w:rsidRPr="001D7A35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Możliwość przeniesienia, przeglądania, analizy, opisu i wydruku badań wykonanych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 dotychczas użytkowanym apara</w:t>
            </w:r>
            <w:r w:rsidR="00DF69AA">
              <w:rPr>
                <w:rFonts w:asciiTheme="minorHAnsi" w:eastAsia="Times New Roman" w:hAnsiTheme="minorHAnsi" w:cstheme="minorHAnsi"/>
                <w:lang w:eastAsia="pl-PL"/>
              </w:rPr>
              <w:t>t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u</w:t>
            </w:r>
          </w:p>
        </w:tc>
        <w:tc>
          <w:tcPr>
            <w:tcW w:w="809" w:type="pct"/>
          </w:tcPr>
          <w:p w:rsidR="001D7A35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434" w:type="pct"/>
          </w:tcPr>
          <w:p w:rsidR="001D7A35" w:rsidRPr="001D7A35" w:rsidRDefault="001D7A3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D7A35">
              <w:rPr>
                <w:rFonts w:asciiTheme="minorHAnsi" w:eastAsia="Times New Roman" w:hAnsiTheme="minorHAnsi" w:cstheme="minorHAnsi"/>
                <w:lang w:eastAsia="pl-PL"/>
              </w:rPr>
              <w:t>Oprogramowanie diagnostyczne w języku polskim.</w:t>
            </w:r>
          </w:p>
        </w:tc>
        <w:tc>
          <w:tcPr>
            <w:tcW w:w="809" w:type="pct"/>
          </w:tcPr>
          <w:p w:rsidR="001D7A35" w:rsidRPr="001C09B8" w:rsidRDefault="00DF69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D16138">
        <w:tc>
          <w:tcPr>
            <w:tcW w:w="301" w:type="pct"/>
            <w:vAlign w:val="center"/>
          </w:tcPr>
          <w:p w:rsidR="00AB61C5" w:rsidRPr="001C09B8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</w:tcPr>
          <w:p w:rsidR="00AB61C5" w:rsidRPr="001C09B8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C09B8">
              <w:rPr>
                <w:rFonts w:asciiTheme="minorHAnsi" w:hAnsiTheme="minorHAnsi" w:cstheme="minorHAnsi"/>
                <w:b/>
              </w:rPr>
              <w:t>AKCESORIA</w:t>
            </w:r>
          </w:p>
        </w:tc>
        <w:tc>
          <w:tcPr>
            <w:tcW w:w="809" w:type="pct"/>
          </w:tcPr>
          <w:p w:rsidR="00AB61C5" w:rsidRPr="001C09B8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434" w:type="pct"/>
          </w:tcPr>
          <w:p w:rsidR="001D7A35" w:rsidRPr="001D7A35" w:rsidRDefault="001D7A35" w:rsidP="001D7A3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Elektroda koncentryczna igłowa jednorazowa stalowa, powlekana silikonem, z wolframowym rdzeniem, o wymiarach: ø 0,30 x 25 mm o powierzchni czynnej 0,02 mm2, 25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Elektroda koncentryczna igłowa jednorazowa stalowa, powlekana silikonem, z wolframowym rdzeniem, o wymiarach: ø 0,46 x 37 mm o powierzchni czynnej 0,07 mm2, 25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Jednorazowa żelowana elektroda powierzchniowa, powierzchnia czynna 9 x 6 mm, z kablem 8 cm, wtyk TP 0,7 mm, 12 szt., 5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Wielorazowa e</w:t>
            </w:r>
            <w:r w:rsidRPr="001D7A35">
              <w:rPr>
                <w:rFonts w:asciiTheme="minorHAnsi" w:hAnsiTheme="minorHAnsi" w:cstheme="minorHAnsi"/>
              </w:rPr>
              <w:t>lektroda powierzchniowa stymulacyjna bipolarna z odłączanym uchwytem, z wkładkami filcowymi ø 7 mm oddalonymi od siebie o 23 mm, z przewodem ekranowanym 2 m, 1 szt., 2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Wielorazowa</w:t>
            </w:r>
            <w:r w:rsidRPr="001D7A3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e</w:t>
            </w:r>
            <w:r w:rsidRPr="001D7A35">
              <w:rPr>
                <w:rFonts w:asciiTheme="minorHAnsi" w:hAnsiTheme="minorHAnsi" w:cstheme="minorHAnsi"/>
              </w:rPr>
              <w:t>lektroda uziemiająca, opaskowa, długość 18,5 cm, szerokość 2 cm, z odłączanym przewodem ze złączem na zatrzask, długość 1,5 m, wtyk TP 1,5 mm, 1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Wielorazowa e</w:t>
            </w:r>
            <w:r w:rsidRPr="001D7A35">
              <w:rPr>
                <w:rFonts w:asciiTheme="minorHAnsi" w:hAnsiTheme="minorHAnsi" w:cstheme="minorHAnsi"/>
              </w:rPr>
              <w:t>lektroda</w:t>
            </w:r>
            <w:r>
              <w:t xml:space="preserve"> </w:t>
            </w:r>
            <w:r w:rsidRPr="001D7A35">
              <w:rPr>
                <w:rFonts w:asciiTheme="minorHAnsi" w:hAnsiTheme="minorHAnsi" w:cstheme="minorHAnsi"/>
              </w:rPr>
              <w:t>uziemiająca, opaskowa, długość 45 cm, szerokość 2 cm, z odłączanym przewodem ze złączem na zatrzask, długość 1,5 m, wtyk TP 1,5 mm, 1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Wielorazowa e</w:t>
            </w:r>
            <w:r w:rsidRPr="001D7A35">
              <w:rPr>
                <w:rFonts w:asciiTheme="minorHAnsi" w:hAnsiTheme="minorHAnsi" w:cstheme="minorHAnsi"/>
              </w:rPr>
              <w:t>lektroda</w:t>
            </w:r>
            <w:r>
              <w:t xml:space="preserve"> </w:t>
            </w:r>
            <w:r w:rsidRPr="001D7A35">
              <w:rPr>
                <w:rFonts w:asciiTheme="minorHAnsi" w:hAnsiTheme="minorHAnsi" w:cstheme="minorHAnsi"/>
              </w:rPr>
              <w:t>uziemiająca powierzchniowa metalowa, średnica 32 mm, kabel 1,2 m, 1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Wielorazowa e</w:t>
            </w:r>
            <w:r w:rsidRPr="001D7A35">
              <w:rPr>
                <w:rFonts w:asciiTheme="minorHAnsi" w:hAnsiTheme="minorHAnsi" w:cstheme="minorHAnsi"/>
              </w:rPr>
              <w:t>lektroda</w:t>
            </w:r>
            <w:r>
              <w:t xml:space="preserve"> </w:t>
            </w:r>
            <w:r w:rsidRPr="001D7A35">
              <w:rPr>
                <w:rFonts w:asciiTheme="minorHAnsi" w:hAnsiTheme="minorHAnsi" w:cstheme="minorHAnsi"/>
              </w:rPr>
              <w:t>powierzchniowa obrączkowa z kablem ekranowanym 1 m, wtyk DIN, 1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Wielorazowa e</w:t>
            </w:r>
            <w:r w:rsidRPr="001D7A35">
              <w:rPr>
                <w:rFonts w:asciiTheme="minorHAnsi" w:hAnsiTheme="minorHAnsi" w:cstheme="minorHAnsi"/>
              </w:rPr>
              <w:t>lektroda</w:t>
            </w:r>
            <w:r>
              <w:t xml:space="preserve"> </w:t>
            </w:r>
            <w:r w:rsidRPr="001D7A35">
              <w:rPr>
                <w:rFonts w:asciiTheme="minorHAnsi" w:hAnsiTheme="minorHAnsi" w:cstheme="minorHAnsi"/>
              </w:rPr>
              <w:t xml:space="preserve">powierzchniowe miseczkowe złocone Grass, średnica miseczki 10 mm, otwór 2 mm, kabel w izolacji teflonowej wzmacniany nićmi </w:t>
            </w:r>
            <w:proofErr w:type="spellStart"/>
            <w:r w:rsidRPr="001D7A35">
              <w:rPr>
                <w:rFonts w:asciiTheme="minorHAnsi" w:hAnsiTheme="minorHAnsi" w:cstheme="minorHAnsi"/>
              </w:rPr>
              <w:t>kevlarowymi</w:t>
            </w:r>
            <w:proofErr w:type="spellEnd"/>
            <w:r w:rsidRPr="001D7A35">
              <w:rPr>
                <w:rFonts w:asciiTheme="minorHAnsi" w:hAnsiTheme="minorHAnsi" w:cstheme="minorHAnsi"/>
              </w:rPr>
              <w:t xml:space="preserve"> długości 122 cm, 10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Przewody do elektrod jednorazowych</w:t>
            </w:r>
            <w:r>
              <w:t xml:space="preserve"> </w:t>
            </w:r>
            <w:r w:rsidRPr="001D7A35">
              <w:rPr>
                <w:rFonts w:asciiTheme="minorHAnsi" w:hAnsiTheme="minorHAnsi" w:cstheme="minorHAnsi"/>
              </w:rPr>
              <w:t xml:space="preserve">ekranowany do elektrod igłowych jednorazowych, wtyk DIN / </w:t>
            </w:r>
            <w:proofErr w:type="spellStart"/>
            <w:r w:rsidRPr="001D7A35">
              <w:rPr>
                <w:rFonts w:asciiTheme="minorHAnsi" w:hAnsiTheme="minorHAnsi" w:cstheme="minorHAnsi"/>
              </w:rPr>
              <w:t>Pogo</w:t>
            </w:r>
            <w:proofErr w:type="spellEnd"/>
            <w:r w:rsidRPr="001D7A35">
              <w:rPr>
                <w:rFonts w:asciiTheme="minorHAnsi" w:hAnsiTheme="minorHAnsi" w:cstheme="minorHAnsi"/>
              </w:rPr>
              <w:t xml:space="preserve"> Pin, 150 cm, 1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434" w:type="pct"/>
          </w:tcPr>
          <w:p w:rsidR="001D7A35" w:rsidRPr="001D7A35" w:rsidRDefault="001D7A3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Przewody do elektrod jednorazowych</w:t>
            </w:r>
            <w:r>
              <w:t xml:space="preserve"> </w:t>
            </w:r>
            <w:r w:rsidRPr="001D7A35">
              <w:rPr>
                <w:rFonts w:asciiTheme="minorHAnsi" w:hAnsiTheme="minorHAnsi" w:cstheme="minorHAnsi"/>
              </w:rPr>
              <w:t>ekranowany do elektrod powierzchniowych jednorazowych, wtyk DIN / 2 x TP 0,7 mm, 2 m, 1 szt., 4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434" w:type="pct"/>
          </w:tcPr>
          <w:p w:rsidR="001D7A35" w:rsidRPr="001D7A35" w:rsidRDefault="001D7A35" w:rsidP="00DF69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Pasta elektrodowa klejąco-przewodząca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434" w:type="pct"/>
          </w:tcPr>
          <w:p w:rsidR="001D7A35" w:rsidRPr="001D7A35" w:rsidRDefault="001D7A35" w:rsidP="001D7A3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7A35">
              <w:rPr>
                <w:rFonts w:asciiTheme="minorHAnsi" w:hAnsiTheme="minorHAnsi" w:cstheme="minorHAnsi"/>
              </w:rPr>
              <w:t>Żel przewodzący do elektrod 1 op.</w:t>
            </w:r>
          </w:p>
        </w:tc>
        <w:tc>
          <w:tcPr>
            <w:tcW w:w="809" w:type="pct"/>
          </w:tcPr>
          <w:p w:rsidR="001D7A35" w:rsidRPr="001C09B8" w:rsidRDefault="00DF69AA" w:rsidP="00DF69A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434" w:type="pct"/>
          </w:tcPr>
          <w:p w:rsidR="001D7A35" w:rsidRPr="001D7A35" w:rsidRDefault="00DF69AA" w:rsidP="00DF69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69AA">
              <w:rPr>
                <w:rFonts w:asciiTheme="minorHAnsi" w:hAnsiTheme="minorHAnsi" w:cstheme="minorHAnsi"/>
              </w:rPr>
              <w:t>Pasta ścierna do przygotowania skóry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434" w:type="pct"/>
          </w:tcPr>
          <w:p w:rsidR="001D7A35" w:rsidRPr="001D7A35" w:rsidRDefault="00DF69AA" w:rsidP="00DF69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69AA">
              <w:rPr>
                <w:rFonts w:asciiTheme="minorHAnsi" w:hAnsiTheme="minorHAnsi" w:cstheme="minorHAnsi"/>
              </w:rPr>
              <w:t>Opaska mocująca do mocowania elektrod, 55 cm, 3 szt.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D7A35" w:rsidRPr="00690D5A" w:rsidTr="00D16138">
        <w:tc>
          <w:tcPr>
            <w:tcW w:w="301" w:type="pct"/>
            <w:vAlign w:val="center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434" w:type="pct"/>
          </w:tcPr>
          <w:p w:rsidR="001D7A35" w:rsidRPr="001D7A35" w:rsidRDefault="00DF69AA" w:rsidP="00DF69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69AA">
              <w:rPr>
                <w:rFonts w:asciiTheme="minorHAnsi" w:hAnsiTheme="minorHAnsi" w:cstheme="minorHAnsi"/>
              </w:rPr>
              <w:t>Taśma samoprzylepna, szerokość ok. 2,5 cm, rolka ok. 9 m, 12 szt., 1 op.</w:t>
            </w:r>
          </w:p>
        </w:tc>
        <w:tc>
          <w:tcPr>
            <w:tcW w:w="809" w:type="pct"/>
          </w:tcPr>
          <w:p w:rsidR="001D7A3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1D7A35" w:rsidRPr="001C09B8" w:rsidRDefault="001D7A3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D16138">
        <w:tc>
          <w:tcPr>
            <w:tcW w:w="301" w:type="pct"/>
            <w:vAlign w:val="center"/>
          </w:tcPr>
          <w:p w:rsidR="00AB61C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434" w:type="pct"/>
          </w:tcPr>
          <w:p w:rsidR="00AB61C5" w:rsidRPr="001C09B8" w:rsidRDefault="00DF69AA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69AA">
              <w:rPr>
                <w:rFonts w:asciiTheme="minorHAnsi" w:hAnsiTheme="minorHAnsi" w:cstheme="minorHAnsi"/>
                <w:color w:val="000000"/>
              </w:rPr>
              <w:t xml:space="preserve">Taśma pomiarowa winylowa </w:t>
            </w:r>
            <w:proofErr w:type="spellStart"/>
            <w:r w:rsidRPr="00DF69AA">
              <w:rPr>
                <w:rFonts w:asciiTheme="minorHAnsi" w:hAnsiTheme="minorHAnsi" w:cstheme="minorHAnsi"/>
                <w:color w:val="000000"/>
              </w:rPr>
              <w:t>samozwijalna</w:t>
            </w:r>
            <w:proofErr w:type="spellEnd"/>
            <w:r w:rsidRPr="00DF69AA">
              <w:rPr>
                <w:rFonts w:asciiTheme="minorHAnsi" w:hAnsiTheme="minorHAnsi" w:cstheme="minorHAnsi"/>
                <w:color w:val="000000"/>
              </w:rPr>
              <w:t>, po jednej stronie centymetry</w:t>
            </w:r>
            <w:r>
              <w:rPr>
                <w:rFonts w:asciiTheme="minorHAnsi" w:hAnsiTheme="minorHAnsi" w:cstheme="minorHAnsi"/>
                <w:color w:val="000000"/>
              </w:rPr>
              <w:t>, po drugiej cale, 1 szt.</w:t>
            </w:r>
          </w:p>
        </w:tc>
        <w:tc>
          <w:tcPr>
            <w:tcW w:w="809" w:type="pct"/>
          </w:tcPr>
          <w:p w:rsidR="00AB61C5" w:rsidRPr="001C09B8" w:rsidRDefault="00DF69A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457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4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III. Informacje dodatkowe - warunki gwarancji i serwisu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 xml:space="preserve">Okres gwarancji w miesiącach (wymagany min. 24 m-ce) </w:t>
            </w:r>
            <w:r w:rsidRPr="001C09B8">
              <w:rPr>
                <w:rFonts w:asciiTheme="minorHAnsi" w:hAnsiTheme="minorHAnsi" w:cstheme="minorHAnsi"/>
              </w:rPr>
              <w:br/>
              <w:t>Wyklucza się możliwość oferowania ubezpieczenia lub kontraktu serwisowego.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Czas podjęcia naprawy przez serwis max 48h od momentu zgłoszenia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Instrukcja w języku polskim, w formie wydrukowanej i wersji elektronicznej na płycie CD lub PenDrive.</w:t>
            </w:r>
          </w:p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1C09B8">
              <w:rPr>
                <w:rFonts w:asciiTheme="minorHAnsi" w:hAnsiTheme="minorHAnsi" w:cstheme="minorHAnsi"/>
                <w:i/>
                <w:iCs/>
              </w:rPr>
              <w:t>Dostarczyć wraz z dostawa przedmiotu zamówienia.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  <w:lang w:eastAsia="pl-PL"/>
              </w:rPr>
              <w:t>Bezpłatne przeglądy w okresie gwarancji.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Bezpłatne szkolenie personelu medycznego w zakresie obsługi aparatu przeprowadzone w siedzibie Zamawiającego.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Liczba napraw uprawniających do wymiany urządzenia na nowe (3 naprawy tego samego modułu)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D16138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434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Serwis na terenie Polski</w:t>
            </w:r>
          </w:p>
        </w:tc>
        <w:tc>
          <w:tcPr>
            <w:tcW w:w="809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D16138">
        <w:tc>
          <w:tcPr>
            <w:tcW w:w="301" w:type="pct"/>
            <w:hideMark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434" w:type="pct"/>
            <w:hideMark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Paszport techniczny </w:t>
            </w:r>
          </w:p>
        </w:tc>
        <w:tc>
          <w:tcPr>
            <w:tcW w:w="809" w:type="pct"/>
            <w:hideMark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45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</w:tbl>
    <w:p w:rsidR="00CC138F" w:rsidRPr="00690D5A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 xml:space="preserve">Uwaga: </w:t>
      </w:r>
      <w:r w:rsidRPr="00690D5A">
        <w:rPr>
          <w:rFonts w:asciiTheme="minorHAnsi" w:hAnsiTheme="minorHAnsi" w:cstheme="minorHAnsi"/>
          <w:b/>
          <w:lang w:eastAsia="pl-PL"/>
        </w:rPr>
        <w:br/>
        <w:t>1. Parametry techniczne graniczne stanowią wymagania - nie spełnienie choćby jednego z w/w wymogów spowoduje odrzucenie oferty.</w:t>
      </w:r>
    </w:p>
    <w:p w:rsidR="00CC138F" w:rsidRPr="00690D5A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:rsidR="00CC138F" w:rsidRPr="00690D5A" w:rsidRDefault="00CC138F" w:rsidP="00CC138F">
      <w:pPr>
        <w:jc w:val="right"/>
        <w:rPr>
          <w:rFonts w:asciiTheme="minorHAnsi" w:hAnsiTheme="minorHAnsi" w:cstheme="minorHAnsi"/>
          <w:lang w:eastAsia="pl-PL"/>
        </w:rPr>
      </w:pPr>
      <w:r w:rsidRPr="00690D5A">
        <w:rPr>
          <w:rFonts w:asciiTheme="minorHAnsi" w:hAnsiTheme="minorHAnsi" w:cstheme="minorHAnsi"/>
          <w:lang w:eastAsia="pl-PL"/>
        </w:rPr>
        <w:t xml:space="preserve">.................................................................................... </w:t>
      </w:r>
    </w:p>
    <w:p w:rsidR="00CC138F" w:rsidRPr="00690D5A" w:rsidRDefault="00CC138F" w:rsidP="00CC138F">
      <w:pPr>
        <w:jc w:val="right"/>
        <w:rPr>
          <w:rFonts w:asciiTheme="minorHAnsi" w:hAnsiTheme="minorHAnsi" w:cstheme="minorHAnsi"/>
          <w:u w:val="single"/>
        </w:rPr>
      </w:pPr>
      <w:r w:rsidRPr="00690D5A">
        <w:rPr>
          <w:rFonts w:asciiTheme="minorHAnsi" w:hAnsiTheme="minorHAnsi" w:cstheme="minorHAnsi"/>
          <w:u w:val="single"/>
          <w:lang w:eastAsia="pl-PL"/>
        </w:rPr>
        <w:t xml:space="preserve"> data i podpis</w:t>
      </w:r>
    </w:p>
    <w:sectPr w:rsidR="00CC138F" w:rsidRPr="00690D5A" w:rsidSect="00606A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D4F" w:rsidRDefault="00680D4F" w:rsidP="0087150F">
      <w:pPr>
        <w:spacing w:after="0" w:line="240" w:lineRule="auto"/>
      </w:pPr>
      <w:r>
        <w:separator/>
      </w:r>
    </w:p>
  </w:endnote>
  <w:endnote w:type="continuationSeparator" w:id="0">
    <w:p w:rsidR="00680D4F" w:rsidRDefault="00680D4F" w:rsidP="0087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546" w:rsidRPr="00C42261" w:rsidRDefault="00FF1546" w:rsidP="00C42261">
    <w:pPr>
      <w:pStyle w:val="Stopka"/>
      <w:rPr>
        <w:color w:val="FFFFFF" w:themeColor="background1"/>
      </w:rPr>
    </w:pPr>
    <w:r w:rsidRPr="0057037A">
      <w:rPr>
        <w:color w:val="FFFFFF" w:themeColor="background1"/>
      </w:rPr>
      <w:t xml:space="preserve">Specyfikację przygotował Krzysztof Łęczewski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D4F" w:rsidRDefault="00680D4F" w:rsidP="0087150F">
      <w:pPr>
        <w:spacing w:after="0" w:line="240" w:lineRule="auto"/>
      </w:pPr>
      <w:r>
        <w:separator/>
      </w:r>
    </w:p>
  </w:footnote>
  <w:footnote w:type="continuationSeparator" w:id="0">
    <w:p w:rsidR="00680D4F" w:rsidRDefault="00680D4F" w:rsidP="0087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CCADC"/>
    <w:multiLevelType w:val="hybridMultilevel"/>
    <w:tmpl w:val="07D68E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3097"/>
    <w:multiLevelType w:val="hybridMultilevel"/>
    <w:tmpl w:val="27262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C7F"/>
    <w:multiLevelType w:val="multilevel"/>
    <w:tmpl w:val="3162F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4C"/>
    <w:rsid w:val="0003546D"/>
    <w:rsid w:val="000754BA"/>
    <w:rsid w:val="000849DC"/>
    <w:rsid w:val="000E0814"/>
    <w:rsid w:val="000E17D0"/>
    <w:rsid w:val="00134F12"/>
    <w:rsid w:val="00161AE4"/>
    <w:rsid w:val="001705AA"/>
    <w:rsid w:val="001940E4"/>
    <w:rsid w:val="001C09B8"/>
    <w:rsid w:val="001D15F3"/>
    <w:rsid w:val="001D5427"/>
    <w:rsid w:val="001D7A35"/>
    <w:rsid w:val="001E2A02"/>
    <w:rsid w:val="001E5941"/>
    <w:rsid w:val="00204A16"/>
    <w:rsid w:val="00226ED9"/>
    <w:rsid w:val="00245BF9"/>
    <w:rsid w:val="002577E9"/>
    <w:rsid w:val="002669CE"/>
    <w:rsid w:val="002724C6"/>
    <w:rsid w:val="002808DE"/>
    <w:rsid w:val="002816C7"/>
    <w:rsid w:val="002908CB"/>
    <w:rsid w:val="00292CC6"/>
    <w:rsid w:val="00295A5B"/>
    <w:rsid w:val="002A1EB6"/>
    <w:rsid w:val="002A7485"/>
    <w:rsid w:val="00303567"/>
    <w:rsid w:val="003432E8"/>
    <w:rsid w:val="00357E70"/>
    <w:rsid w:val="00360A2B"/>
    <w:rsid w:val="00377EF0"/>
    <w:rsid w:val="0038209B"/>
    <w:rsid w:val="003A42C9"/>
    <w:rsid w:val="003B3741"/>
    <w:rsid w:val="003C483F"/>
    <w:rsid w:val="003C6FD8"/>
    <w:rsid w:val="003D578E"/>
    <w:rsid w:val="003E6C81"/>
    <w:rsid w:val="003E7F0E"/>
    <w:rsid w:val="003F6C04"/>
    <w:rsid w:val="004438F6"/>
    <w:rsid w:val="00452D42"/>
    <w:rsid w:val="004623F9"/>
    <w:rsid w:val="00472B0B"/>
    <w:rsid w:val="00475178"/>
    <w:rsid w:val="00484F14"/>
    <w:rsid w:val="00493FD1"/>
    <w:rsid w:val="004C473F"/>
    <w:rsid w:val="0053302D"/>
    <w:rsid w:val="0057037A"/>
    <w:rsid w:val="00575767"/>
    <w:rsid w:val="00580AD6"/>
    <w:rsid w:val="00582CDC"/>
    <w:rsid w:val="00593759"/>
    <w:rsid w:val="005955A4"/>
    <w:rsid w:val="005A2510"/>
    <w:rsid w:val="005A6B1A"/>
    <w:rsid w:val="005C1592"/>
    <w:rsid w:val="005C2C64"/>
    <w:rsid w:val="005E5162"/>
    <w:rsid w:val="005F48AE"/>
    <w:rsid w:val="00602420"/>
    <w:rsid w:val="00606AD5"/>
    <w:rsid w:val="0061083E"/>
    <w:rsid w:val="006266FB"/>
    <w:rsid w:val="00636E24"/>
    <w:rsid w:val="00680D4F"/>
    <w:rsid w:val="00686343"/>
    <w:rsid w:val="00690D5A"/>
    <w:rsid w:val="006930F9"/>
    <w:rsid w:val="0069648A"/>
    <w:rsid w:val="006A47C2"/>
    <w:rsid w:val="006A5E36"/>
    <w:rsid w:val="006C2476"/>
    <w:rsid w:val="006C5D47"/>
    <w:rsid w:val="006E086D"/>
    <w:rsid w:val="006F168F"/>
    <w:rsid w:val="0072535E"/>
    <w:rsid w:val="007372E7"/>
    <w:rsid w:val="00763375"/>
    <w:rsid w:val="0077241E"/>
    <w:rsid w:val="00774FD0"/>
    <w:rsid w:val="007858E4"/>
    <w:rsid w:val="00797340"/>
    <w:rsid w:val="007A15EA"/>
    <w:rsid w:val="007D7241"/>
    <w:rsid w:val="007E4D3B"/>
    <w:rsid w:val="007E5347"/>
    <w:rsid w:val="007E731F"/>
    <w:rsid w:val="00814492"/>
    <w:rsid w:val="0081522D"/>
    <w:rsid w:val="00857BA0"/>
    <w:rsid w:val="00865B46"/>
    <w:rsid w:val="00865B62"/>
    <w:rsid w:val="0087150F"/>
    <w:rsid w:val="0087385F"/>
    <w:rsid w:val="00877ED6"/>
    <w:rsid w:val="008B7249"/>
    <w:rsid w:val="008B772B"/>
    <w:rsid w:val="008C67B4"/>
    <w:rsid w:val="008C7F5C"/>
    <w:rsid w:val="008F4227"/>
    <w:rsid w:val="0090348E"/>
    <w:rsid w:val="00903C0F"/>
    <w:rsid w:val="0091541A"/>
    <w:rsid w:val="009211BF"/>
    <w:rsid w:val="009218BA"/>
    <w:rsid w:val="00924790"/>
    <w:rsid w:val="009379DA"/>
    <w:rsid w:val="009450F4"/>
    <w:rsid w:val="00960E2D"/>
    <w:rsid w:val="00961907"/>
    <w:rsid w:val="00974647"/>
    <w:rsid w:val="00987029"/>
    <w:rsid w:val="009A31C0"/>
    <w:rsid w:val="009A5AC3"/>
    <w:rsid w:val="009B6DDC"/>
    <w:rsid w:val="009E573D"/>
    <w:rsid w:val="009F1E62"/>
    <w:rsid w:val="00A10E16"/>
    <w:rsid w:val="00A33D41"/>
    <w:rsid w:val="00A354E1"/>
    <w:rsid w:val="00A5074F"/>
    <w:rsid w:val="00A57C3D"/>
    <w:rsid w:val="00A61540"/>
    <w:rsid w:val="00A65CCC"/>
    <w:rsid w:val="00A76B6F"/>
    <w:rsid w:val="00AB61C5"/>
    <w:rsid w:val="00AD0015"/>
    <w:rsid w:val="00AD5148"/>
    <w:rsid w:val="00AE0129"/>
    <w:rsid w:val="00AE1FDA"/>
    <w:rsid w:val="00B0321A"/>
    <w:rsid w:val="00B26F13"/>
    <w:rsid w:val="00B34D79"/>
    <w:rsid w:val="00B42A2A"/>
    <w:rsid w:val="00B44334"/>
    <w:rsid w:val="00B54727"/>
    <w:rsid w:val="00B64589"/>
    <w:rsid w:val="00B865AE"/>
    <w:rsid w:val="00B93BEC"/>
    <w:rsid w:val="00B9622B"/>
    <w:rsid w:val="00BA3F96"/>
    <w:rsid w:val="00BA7239"/>
    <w:rsid w:val="00BE67ED"/>
    <w:rsid w:val="00BF24A8"/>
    <w:rsid w:val="00BF2652"/>
    <w:rsid w:val="00BF7621"/>
    <w:rsid w:val="00C36835"/>
    <w:rsid w:val="00C42261"/>
    <w:rsid w:val="00C54BEF"/>
    <w:rsid w:val="00C6237F"/>
    <w:rsid w:val="00C73F80"/>
    <w:rsid w:val="00C869EA"/>
    <w:rsid w:val="00C95800"/>
    <w:rsid w:val="00CC138F"/>
    <w:rsid w:val="00CD4F88"/>
    <w:rsid w:val="00CE085F"/>
    <w:rsid w:val="00CE3863"/>
    <w:rsid w:val="00CF5973"/>
    <w:rsid w:val="00CF7148"/>
    <w:rsid w:val="00D00790"/>
    <w:rsid w:val="00D16026"/>
    <w:rsid w:val="00D16138"/>
    <w:rsid w:val="00D26671"/>
    <w:rsid w:val="00D312E6"/>
    <w:rsid w:val="00D6290D"/>
    <w:rsid w:val="00D7433E"/>
    <w:rsid w:val="00DA0F8C"/>
    <w:rsid w:val="00DC5366"/>
    <w:rsid w:val="00DC69D1"/>
    <w:rsid w:val="00DE5AC6"/>
    <w:rsid w:val="00DF69AA"/>
    <w:rsid w:val="00E06BFA"/>
    <w:rsid w:val="00E106DD"/>
    <w:rsid w:val="00E33E4F"/>
    <w:rsid w:val="00E4777A"/>
    <w:rsid w:val="00E54CFD"/>
    <w:rsid w:val="00E679AA"/>
    <w:rsid w:val="00E7004C"/>
    <w:rsid w:val="00E906C8"/>
    <w:rsid w:val="00EB6533"/>
    <w:rsid w:val="00EE6B6B"/>
    <w:rsid w:val="00F04AF2"/>
    <w:rsid w:val="00F30305"/>
    <w:rsid w:val="00F33E24"/>
    <w:rsid w:val="00F50C51"/>
    <w:rsid w:val="00F6557F"/>
    <w:rsid w:val="00F67A73"/>
    <w:rsid w:val="00F81979"/>
    <w:rsid w:val="00F916B6"/>
    <w:rsid w:val="00F96955"/>
    <w:rsid w:val="00FA2C01"/>
    <w:rsid w:val="00FA3285"/>
    <w:rsid w:val="00FB0BD2"/>
    <w:rsid w:val="00FB1CFF"/>
    <w:rsid w:val="00FB48E9"/>
    <w:rsid w:val="00FC0C4B"/>
    <w:rsid w:val="00FC27E5"/>
    <w:rsid w:val="00FD095C"/>
    <w:rsid w:val="00FF1546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312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31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D312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D312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D312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D312E6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Pa1">
    <w:name w:val="Pa1"/>
    <w:basedOn w:val="Default"/>
    <w:next w:val="Default"/>
    <w:uiPriority w:val="99"/>
    <w:rsid w:val="0038209B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character" w:customStyle="1" w:styleId="A4">
    <w:name w:val="A4"/>
    <w:uiPriority w:val="99"/>
    <w:rsid w:val="0038209B"/>
    <w:rPr>
      <w:rFonts w:cs="HelveticaNeueLT Std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35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B7249"/>
    <w:pPr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eastAsia="ar-SA"/>
    </w:rPr>
  </w:style>
  <w:style w:type="numbering" w:customStyle="1" w:styleId="WWNum4">
    <w:name w:val="WWNum4"/>
    <w:basedOn w:val="Bezlisty"/>
    <w:rsid w:val="00961907"/>
    <w:pPr>
      <w:numPr>
        <w:numId w:val="5"/>
      </w:numPr>
    </w:pPr>
  </w:style>
  <w:style w:type="paragraph" w:styleId="Akapitzlist">
    <w:name w:val="List Paragraph"/>
    <w:basedOn w:val="Normalny"/>
    <w:uiPriority w:val="99"/>
    <w:qFormat/>
    <w:rsid w:val="007E73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qFormat/>
    <w:rsid w:val="0090348E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E594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EB6533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EB6533"/>
    <w:pPr>
      <w:widowControl w:val="0"/>
      <w:suppressAutoHyphens/>
      <w:spacing w:before="280" w:after="280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CC138F"/>
    <w:pPr>
      <w:widowControl w:val="0"/>
      <w:suppressAutoHyphens/>
      <w:spacing w:before="280" w:after="280" w:line="100" w:lineRule="atLeast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C13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C138F"/>
    <w:rPr>
      <w:sz w:val="20"/>
      <w:szCs w:val="20"/>
      <w:lang w:eastAsia="en-US"/>
    </w:rPr>
  </w:style>
  <w:style w:type="character" w:customStyle="1" w:styleId="TekstprzypisudolnegoZnak1">
    <w:name w:val="Tekst przypisu dolnego Znak1"/>
    <w:link w:val="Tekstprzypisudolnego"/>
    <w:rsid w:val="00CC138F"/>
    <w:rPr>
      <w:rFonts w:ascii="Times New Roman" w:eastAsia="Times New Roman" w:hAnsi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50F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50F"/>
    <w:rPr>
      <w:lang w:eastAsia="en-US"/>
    </w:rPr>
  </w:style>
  <w:style w:type="paragraph" w:customStyle="1" w:styleId="Normalny1">
    <w:name w:val="Normalny1"/>
    <w:rsid w:val="00F33E24"/>
    <w:pPr>
      <w:suppressAutoHyphens/>
      <w:spacing w:after="200" w:line="276" w:lineRule="auto"/>
    </w:pPr>
    <w:rPr>
      <w:lang w:eastAsia="en-US"/>
    </w:rPr>
  </w:style>
  <w:style w:type="character" w:customStyle="1" w:styleId="FontStyle90">
    <w:name w:val="Font Style90"/>
    <w:uiPriority w:val="99"/>
    <w:rsid w:val="00F33E24"/>
    <w:rPr>
      <w:rFonts w:ascii="Arial" w:hAnsi="Arial" w:cs="Arial" w:hint="default"/>
      <w:color w:val="000000"/>
      <w:sz w:val="14"/>
      <w:szCs w:val="14"/>
    </w:rPr>
  </w:style>
  <w:style w:type="paragraph" w:customStyle="1" w:styleId="ZnakZnak1">
    <w:name w:val="Znak Znak1"/>
    <w:basedOn w:val="Normalny"/>
    <w:rsid w:val="003C6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CC106-48C2-402E-A3BA-B419CB9E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1750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Łęczewski</dc:creator>
  <cp:keywords/>
  <dc:description/>
  <cp:lastModifiedBy>Tomasz Miazek</cp:lastModifiedBy>
  <cp:revision>5</cp:revision>
  <cp:lastPrinted>2024-03-01T06:52:00Z</cp:lastPrinted>
  <dcterms:created xsi:type="dcterms:W3CDTF">2024-10-02T06:30:00Z</dcterms:created>
  <dcterms:modified xsi:type="dcterms:W3CDTF">2024-10-24T13:20:00Z</dcterms:modified>
</cp:coreProperties>
</file>